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 cy="171450"/>
                    </a:xfrm>
                    <a:prstGeom prst="rect">
                      <a:avLst/>
                    </a:prstGeom>
                  </pic:spPr>
                </pic:pic>
              </a:graphicData>
            </a:graphic>
          </wp:inline>
        </w:drawing>
      </w:r>
      <w:r>
        <w:rPr>
          <w:rFonts w:ascii="Cachet Bold" w:cs="Cachet Bold" w:eastAsia="Cachet Bold" w:hAnsi="Cachet Bold"/>
          <w:b/>
          <w:bCs/>
          <w:color w:val="92278F"/>
          <w:sz w:val="20"/>
          <w:szCs w:val="20"/>
        </w:rPr>
        <w:t xml:space="preserve">  SEAL-EARNING UNIT</w:t>
      </w:r>
    </w:p>
    <w:p>
      <w:pPr>
        <w:pStyle w:val="Title"/>
        <w:pBdr>
          <w:bottom w:val="single" w:color="0089D0" w:sz="12" w:space="6"/>
        </w:pBdr>
        <w:spacing w:after="160"/>
      </w:pPr>
      <w:r>
        <w:rPr>
          <w:rFonts w:ascii="Cachet Bold" w:cs="Cachet Bold" w:eastAsia="Cachet Bold" w:hAnsi="Cachet Bold"/>
          <w:b/>
          <w:bCs/>
          <w:color w:val="0060AF"/>
          <w:sz w:val="40"/>
          <w:szCs w:val="40"/>
        </w:rPr>
        <w:t>Unit 3: The School Equity Review (High School Civics Project, modeled on NYSED Handbook Example 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Subject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Civics, Government, Data Literacy, Policy Analysis</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Grade Level</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9-12</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Possible Seal Credit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New York High School Civics Project, 1.5 points (Civic Participation; may be earned twice in grades 9-12). Rhode Island student-led civics project. Connecticut portfolio evidence.</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Time Allotment</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5 weeks, one 45-minute class or delegation meeting per week plus independent work.</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Youth and Government Process Practiced</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Committee-style review of data and policy, a resolution in Youth and Government format, a hearing with the people the policy affects, and a formal presentation of recommendations to the principal, superintendent or board of education.</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The Project Standard</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NYSED's Handbook gives an example High School Civics Project (Example 2) in which a student committee analyzes equity data and gives the administration recommendations on the code of conduct. This unit follows that model. It treats the school as the jurisdiction and the code of conduct as the law, and runs the analysis the way a legislative committee would: data first, testimony second, recommendations last.</w:t>
            </w:r>
          </w:p>
        </w:tc>
      </w:tr>
    </w:tbl>
    <w:p>
      <w:pPr>
        <w:spacing w:after="120"/>
      </w:pPr>
    </w:p>
    <w:p>
      <w:pPr>
        <w:spacing w:after="110"/>
      </w:pPr>
      <w:r>
        <w:rPr>
          <w:rFonts w:ascii="Cachet Bold" w:cs="Cachet Bold" w:eastAsia="Cachet Bold" w:hAnsi="Cachet Bold"/>
          <w:b/>
          <w:bCs/>
          <w:color w:val="0060AF"/>
          <w:sz w:val="21"/>
          <w:szCs w:val="21"/>
        </w:rPr>
        <w:t xml:space="preserve">Learning Objectives: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read the school's publicly reported data (enrollment, attendance, suspensions, participation in advanced courses and activities) and describe what it shows by student group.</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read the code of conduct and identify which provisions connect to the patterns in the data.</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take testimony from students, staff and families fairly and record it.</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write a resolution with findings (whereas clauses) and recommendations (resolved clauses) that cite data and policy.</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present the recommendations to school leadership and record the response.</w:t>
      </w:r>
    </w:p>
    <w:p>
      <w:pPr>
        <w:spacing w:after="110"/>
      </w:pPr>
      <w:r>
        <w:rPr>
          <w:rFonts w:ascii="Cachet Bold" w:cs="Cachet Bold" w:eastAsia="Cachet Bold" w:hAnsi="Cachet Bold"/>
          <w:b/>
          <w:bCs/>
          <w:color w:val="0060AF"/>
          <w:sz w:val="21"/>
          <w:szCs w:val="21"/>
        </w:rPr>
        <w:t xml:space="preserve">Materials:</w:t>
      </w:r>
    </w:p>
    <w:p>
      <w:pPr>
        <w:pStyle w:val="ListParagraph"/>
        <w:numPr>
          <w:ilvl w:val="0"/>
          <w:numId w:val="2"/>
        </w:numPr>
        <w:spacing w:after="70"/>
      </w:pPr>
      <w:r>
        <w:rPr>
          <w:rFonts w:ascii="Cachet Book" w:cs="Cachet Book" w:eastAsia="Cachet Book" w:hAnsi="Cachet Book"/>
          <w:color w:val="231F20"/>
          <w:sz w:val="21"/>
          <w:szCs w:val="21"/>
        </w:rPr>
        <w:t xml:space="preserve">The school's public report card data (New York: the NYSED data site; Connecticut: EdSight; Rhode Island: RIDE's report cards) and the district's code of conduct</w:t>
      </w:r>
    </w:p>
    <w:p>
      <w:pPr>
        <w:pStyle w:val="ListParagraph"/>
        <w:numPr>
          <w:ilvl w:val="0"/>
          <w:numId w:val="2"/>
        </w:numPr>
        <w:spacing w:after="70"/>
      </w:pPr>
      <w:r>
        <w:rPr>
          <w:rFonts w:ascii="Cachet Book" w:cs="Cachet Book" w:eastAsia="Cachet Book" w:hAnsi="Cachet Book"/>
          <w:color w:val="231F20"/>
          <w:sz w:val="21"/>
          <w:szCs w:val="21"/>
        </w:rPr>
        <w:t xml:space="preserve">Handout: "Data Reading Guide" (Supporting Document 1)</w:t>
      </w:r>
    </w:p>
    <w:p>
      <w:pPr>
        <w:pStyle w:val="ListParagraph"/>
        <w:numPr>
          <w:ilvl w:val="0"/>
          <w:numId w:val="2"/>
        </w:numPr>
        <w:spacing w:after="70"/>
      </w:pPr>
      <w:r>
        <w:rPr>
          <w:rFonts w:ascii="Cachet Book" w:cs="Cachet Book" w:eastAsia="Cachet Book" w:hAnsi="Cachet Book"/>
          <w:color w:val="231F20"/>
          <w:sz w:val="21"/>
          <w:szCs w:val="21"/>
        </w:rPr>
        <w:t xml:space="preserve">Handout: "Code of Conduct Review Grid" (Supporting Document 2)</w:t>
      </w:r>
    </w:p>
    <w:p>
      <w:pPr>
        <w:pStyle w:val="ListParagraph"/>
        <w:numPr>
          <w:ilvl w:val="0"/>
          <w:numId w:val="2"/>
        </w:numPr>
        <w:spacing w:after="70"/>
      </w:pPr>
      <w:r>
        <w:rPr>
          <w:rFonts w:ascii="Cachet Book" w:cs="Cachet Book" w:eastAsia="Cachet Book" w:hAnsi="Cachet Book"/>
          <w:color w:val="231F20"/>
          <w:sz w:val="21"/>
          <w:szCs w:val="21"/>
        </w:rPr>
        <w:t xml:space="preserve">Handout: "Hearing Protocol and Testimony Record" (Supporting Document 3)</w:t>
      </w:r>
    </w:p>
    <w:p>
      <w:pPr>
        <w:pStyle w:val="ListParagraph"/>
        <w:numPr>
          <w:ilvl w:val="0"/>
          <w:numId w:val="2"/>
        </w:numPr>
        <w:spacing w:after="70"/>
      </w:pPr>
      <w:r>
        <w:rPr>
          <w:rFonts w:ascii="Cachet Book" w:cs="Cachet Book" w:eastAsia="Cachet Book" w:hAnsi="Cachet Book"/>
          <w:color w:val="231F20"/>
          <w:sz w:val="21"/>
          <w:szCs w:val="21"/>
        </w:rPr>
        <w:t xml:space="preserve">Handout: "Equity Resolution Template" (Supporting Document 4)</w:t>
      </w:r>
    </w:p>
    <w:p>
      <w:pPr>
        <w:pStyle w:val="ListParagraph"/>
        <w:numPr>
          <w:ilvl w:val="0"/>
          <w:numId w:val="2"/>
        </w:numPr>
        <w:spacing w:after="70"/>
      </w:pPr>
      <w:r>
        <w:rPr>
          <w:rFonts w:ascii="Cachet Book" w:cs="Cachet Book" w:eastAsia="Cachet Book" w:hAnsi="Cachet Book"/>
          <w:color w:val="231F20"/>
          <w:sz w:val="21"/>
          <w:szCs w:val="21"/>
        </w:rPr>
        <w:t>Handout: "Equity Review Rubric" (see Assessment section)</w:t>
      </w:r>
    </w:p>
    <w:p>
      <w:pPr>
        <w:spacing w:after="110"/>
      </w:pPr>
      <w:r>
        <w:rPr>
          <w:rFonts w:ascii="Cachet Bold" w:cs="Cachet Bold" w:eastAsia="Cachet Bold" w:hAnsi="Cachet Bold"/>
          <w:b/>
          <w:bCs/>
          <w:color w:val="0060AF"/>
          <w:sz w:val="21"/>
          <w:szCs w:val="21"/>
        </w:rPr>
        <w:t xml:space="preserve">Pre-Planning:</w:t>
      </w:r>
    </w:p>
    <w:p>
      <w:pPr>
        <w:pStyle w:val="ListParagraph"/>
        <w:numPr>
          <w:ilvl w:val="0"/>
          <w:numId w:val="2"/>
        </w:numPr>
        <w:spacing w:after="70"/>
      </w:pPr>
      <w:r>
        <w:rPr>
          <w:rFonts w:ascii="Cachet Book" w:cs="Cachet Book" w:eastAsia="Cachet Book" w:hAnsi="Cachet Book"/>
          <w:color w:val="231F20"/>
          <w:sz w:val="21"/>
          <w:szCs w:val="21"/>
        </w:rPr>
        <w:t xml:space="preserve">Confirm Seal Committee acceptance and tell the principal the project is happening; the project ends with a presentation to leadership, so leadership should expect it.</w:t>
      </w:r>
    </w:p>
    <w:p>
      <w:pPr>
        <w:pStyle w:val="ListParagraph"/>
        <w:numPr>
          <w:ilvl w:val="0"/>
          <w:numId w:val="2"/>
        </w:numPr>
        <w:spacing w:after="70"/>
      </w:pPr>
      <w:r>
        <w:rPr>
          <w:rFonts w:ascii="Cachet Book" w:cs="Cachet Book" w:eastAsia="Cachet Book" w:hAnsi="Cachet Book"/>
          <w:color w:val="231F20"/>
          <w:sz w:val="21"/>
          <w:szCs w:val="21"/>
        </w:rPr>
        <w:t xml:space="preserve">Work in a committee of four to six students with a chair, a clerk and members. Each member keeps individual notes and writes an individual reflection.</w:t>
      </w:r>
    </w:p>
    <w:p>
      <w:pPr>
        <w:pStyle w:val="ListParagraph"/>
        <w:numPr>
          <w:ilvl w:val="0"/>
          <w:numId w:val="2"/>
        </w:numPr>
        <w:spacing w:after="70"/>
      </w:pPr>
      <w:r>
        <w:rPr>
          <w:rFonts w:ascii="Cachet Book" w:cs="Cachet Book" w:eastAsia="Cachet Book" w:hAnsi="Cachet Book"/>
          <w:color w:val="231F20"/>
          <w:sz w:val="21"/>
          <w:szCs w:val="21"/>
        </w:rPr>
        <w:t xml:space="preserve">Agree on ground rules with the advisor: no naming of individual students or staff in any document; data at the group level only; testimony anonymized.</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1: Read the Data (45 minutes)</w:t>
      </w:r>
    </w:p>
    <w:p>
      <w:pPr>
        <w:pStyle w:val="ListParagraph"/>
        <w:numPr>
          <w:ilvl w:val="0"/>
          <w:numId w:val="3"/>
        </w:numPr>
        <w:spacing w:after="70"/>
      </w:pPr>
      <w:r>
        <w:rPr>
          <w:rFonts w:ascii="Cachet Bold" w:cs="Cachet Bold" w:eastAsia="Cachet Bold" w:hAnsi="Cachet Bold"/>
          <w:b/>
          <w:bCs/>
          <w:color w:val="0060AF"/>
          <w:sz w:val="21"/>
          <w:szCs w:val="21"/>
        </w:rPr>
        <w:t xml:space="preserve">(10 minutes) What equity data is:</w:t>
      </w:r>
      <w:r>
        <w:rPr>
          <w:rFonts w:ascii="Cachet Book" w:cs="Cachet Book" w:eastAsia="Cachet Book" w:hAnsi="Cachet Book"/>
          <w:color w:val="231F20"/>
          <w:sz w:val="21"/>
          <w:szCs w:val="21"/>
        </w:rPr>
        <w:t xml:space="preserve"> Enrollment, chronic absenteeism, suspensions and referrals, participation in advanced courses, clubs and athletics, broken out by the groups the state reports (race and ethnicity, economic status, disability, English learners, gender).</w:t>
      </w:r>
    </w:p>
    <w:p>
      <w:pPr>
        <w:pStyle w:val="ListParagraph"/>
        <w:numPr>
          <w:ilvl w:val="0"/>
          <w:numId w:val="3"/>
        </w:numPr>
        <w:spacing w:after="70"/>
      </w:pPr>
      <w:r>
        <w:rPr>
          <w:rFonts w:ascii="Cachet Bold" w:cs="Cachet Bold" w:eastAsia="Cachet Bold" w:hAnsi="Cachet Bold"/>
          <w:b/>
          <w:bCs/>
          <w:color w:val="0060AF"/>
          <w:sz w:val="21"/>
          <w:szCs w:val="21"/>
        </w:rPr>
        <w:t xml:space="preserve">(25 minutes) Data Reading Guide:</w:t>
      </w:r>
      <w:r>
        <w:rPr>
          <w:rFonts w:ascii="Cachet Book" w:cs="Cachet Book" w:eastAsia="Cachet Book" w:hAnsi="Cachet Book"/>
          <w:color w:val="231F20"/>
          <w:sz w:val="21"/>
          <w:szCs w:val="21"/>
        </w:rPr>
        <w:t xml:space="preserve"> In pairs, students complete the guide for two measures: what the school-wide number is, what the number is for each group, where the gaps are, and what the trend has been over three years. Mark any group too small to report.</w:t>
      </w:r>
    </w:p>
    <w:p>
      <w:pPr>
        <w:pStyle w:val="ListParagraph"/>
        <w:numPr>
          <w:ilvl w:val="0"/>
          <w:numId w:val="3"/>
        </w:numPr>
        <w:spacing w:after="70"/>
      </w:pPr>
      <w:r>
        <w:rPr>
          <w:rFonts w:ascii="Cachet Bold" w:cs="Cachet Bold" w:eastAsia="Cachet Bold" w:hAnsi="Cachet Bold"/>
          <w:b/>
          <w:bCs/>
          <w:color w:val="0060AF"/>
          <w:sz w:val="21"/>
          <w:szCs w:val="21"/>
        </w:rPr>
        <w:t xml:space="preserve">(10 minutes) Committee findings, draft one:</w:t>
      </w:r>
      <w:r>
        <w:rPr>
          <w:rFonts w:ascii="Cachet Book" w:cs="Cachet Book" w:eastAsia="Cachet Book" w:hAnsi="Cachet Book"/>
          <w:color w:val="231F20"/>
          <w:sz w:val="21"/>
          <w:szCs w:val="21"/>
        </w:rPr>
        <w:t xml:space="preserve"> Three sentences that state the largest gaps with numbers. No causes yet.</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2: Read the Code (45 minutes)</w:t>
      </w:r>
    </w:p>
    <w:p>
      <w:pPr>
        <w:pStyle w:val="ListParagraph"/>
        <w:numPr>
          <w:ilvl w:val="0"/>
          <w:numId w:val="4"/>
        </w:numPr>
        <w:spacing w:after="70"/>
      </w:pPr>
      <w:r>
        <w:rPr>
          <w:rFonts w:ascii="Cachet Bold" w:cs="Cachet Bold" w:eastAsia="Cachet Bold" w:hAnsi="Cachet Bold"/>
          <w:b/>
          <w:bCs/>
          <w:color w:val="0060AF"/>
          <w:sz w:val="21"/>
          <w:szCs w:val="21"/>
        </w:rPr>
        <w:t xml:space="preserve">(15 minutes) Code of conduct walk-through:</w:t>
      </w:r>
      <w:r>
        <w:rPr>
          <w:rFonts w:ascii="Cachet Book" w:cs="Cachet Book" w:eastAsia="Cachet Book" w:hAnsi="Cachet Book"/>
          <w:color w:val="231F20"/>
          <w:sz w:val="21"/>
          <w:szCs w:val="21"/>
        </w:rPr>
        <w:t xml:space="preserve"> Locate the sections on expected behavior, the discipline ladder, which offenses allow suspension, due process steps, and any restorative or support options.</w:t>
      </w:r>
    </w:p>
    <w:p>
      <w:pPr>
        <w:pStyle w:val="ListParagraph"/>
        <w:numPr>
          <w:ilvl w:val="0"/>
          <w:numId w:val="4"/>
        </w:numPr>
        <w:spacing w:after="70"/>
      </w:pPr>
      <w:r>
        <w:rPr>
          <w:rFonts w:ascii="Cachet Bold" w:cs="Cachet Bold" w:eastAsia="Cachet Bold" w:hAnsi="Cachet Bold"/>
          <w:b/>
          <w:bCs/>
          <w:color w:val="0060AF"/>
          <w:sz w:val="21"/>
          <w:szCs w:val="21"/>
        </w:rPr>
        <w:t xml:space="preserve">(25 minutes) Review Grid:</w:t>
      </w:r>
      <w:r>
        <w:rPr>
          <w:rFonts w:ascii="Cachet Book" w:cs="Cachet Book" w:eastAsia="Cachet Book" w:hAnsi="Cachet Book"/>
          <w:color w:val="231F20"/>
          <w:sz w:val="21"/>
          <w:szCs w:val="21"/>
        </w:rPr>
        <w:t xml:space="preserve"> For each data gap from Week 1, record which code provisions touch it (for example, the referral process and dress code for referral disparities; attendance interventions for chronic absenteeism; prerequisites and recruitment for advanced course gaps). Rate each provision: clear or vague; discretionary or fixed; supportive options present or absent.</w:t>
      </w:r>
    </w:p>
    <w:p>
      <w:pPr>
        <w:pStyle w:val="ListParagraph"/>
        <w:numPr>
          <w:ilvl w:val="0"/>
          <w:numId w:val="4"/>
        </w:numPr>
        <w:spacing w:after="70"/>
      </w:pPr>
      <w:r>
        <w:rPr>
          <w:rFonts w:ascii="Cachet Bold" w:cs="Cachet Bold" w:eastAsia="Cachet Bold" w:hAnsi="Cachet Bold"/>
          <w:b/>
          <w:bCs/>
          <w:color w:val="0060AF"/>
          <w:sz w:val="21"/>
          <w:szCs w:val="21"/>
        </w:rPr>
        <w:t xml:space="preserve">(5 minutes) Questions for the hearing:</w:t>
      </w:r>
      <w:r>
        <w:rPr>
          <w:rFonts w:ascii="Cachet Book" w:cs="Cachet Book" w:eastAsia="Cachet Book" w:hAnsi="Cachet Book"/>
          <w:color w:val="231F20"/>
          <w:sz w:val="21"/>
          <w:szCs w:val="21"/>
        </w:rPr>
        <w:t xml:space="preserve"> Each member writes two questions a hearing witness could answer that the data cannot.</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3: The Hearing (45 minutes)</w:t>
      </w:r>
    </w:p>
    <w:p>
      <w:pPr>
        <w:pStyle w:val="ListParagraph"/>
        <w:numPr>
          <w:ilvl w:val="0"/>
          <w:numId w:val="5"/>
        </w:numPr>
        <w:spacing w:after="70"/>
      </w:pPr>
      <w:r>
        <w:rPr>
          <w:rFonts w:ascii="Cachet Bold" w:cs="Cachet Bold" w:eastAsia="Cachet Bold" w:hAnsi="Cachet Bold"/>
          <w:b/>
          <w:bCs/>
          <w:color w:val="0060AF"/>
          <w:sz w:val="21"/>
          <w:szCs w:val="21"/>
        </w:rPr>
        <w:t xml:space="preserve">(5 minutes) Protocol:</w:t>
      </w:r>
      <w:r>
        <w:rPr>
          <w:rFonts w:ascii="Cachet Book" w:cs="Cachet Book" w:eastAsia="Cachet Book" w:hAnsi="Cachet Book"/>
          <w:color w:val="231F20"/>
          <w:sz w:val="21"/>
          <w:szCs w:val="21"/>
        </w:rPr>
        <w:t xml:space="preserve"> Chair opens; each witness gets three minutes; members ask questions through the chair; clerk records; no names of other students or staff; witnesses may decline any question.</w:t>
      </w:r>
    </w:p>
    <w:p>
      <w:pPr>
        <w:pStyle w:val="ListParagraph"/>
        <w:numPr>
          <w:ilvl w:val="0"/>
          <w:numId w:val="5"/>
        </w:numPr>
        <w:spacing w:after="70"/>
      </w:pPr>
      <w:r>
        <w:rPr>
          <w:rFonts w:ascii="Cachet Bold" w:cs="Cachet Bold" w:eastAsia="Cachet Bold" w:hAnsi="Cachet Bold"/>
          <w:b/>
          <w:bCs/>
          <w:color w:val="0060AF"/>
          <w:sz w:val="21"/>
          <w:szCs w:val="21"/>
        </w:rPr>
        <w:t xml:space="preserve">(35 minutes) Witnesses:</w:t>
      </w:r>
      <w:r>
        <w:rPr>
          <w:rFonts w:ascii="Cachet Book" w:cs="Cachet Book" w:eastAsia="Cachet Book" w:hAnsi="Cachet Book"/>
          <w:color w:val="231F20"/>
          <w:sz w:val="21"/>
          <w:szCs w:val="21"/>
        </w:rPr>
        <w:t xml:space="preserve"> Invite in advance at least six: students from different groups and grades, a teacher, a counselor or dean, a family member, a student government officer. If a witness cannot attend, take written testimony.</w:t>
      </w:r>
    </w:p>
    <w:p>
      <w:pPr>
        <w:pStyle w:val="ListParagraph"/>
        <w:numPr>
          <w:ilvl w:val="0"/>
          <w:numId w:val="5"/>
        </w:numPr>
        <w:spacing w:after="70"/>
      </w:pPr>
      <w:r>
        <w:rPr>
          <w:rFonts w:ascii="Cachet Bold" w:cs="Cachet Bold" w:eastAsia="Cachet Bold" w:hAnsi="Cachet Bold"/>
          <w:b/>
          <w:bCs/>
          <w:color w:val="0060AF"/>
          <w:sz w:val="21"/>
          <w:szCs w:val="21"/>
        </w:rPr>
        <w:t xml:space="preserve">(5 minutes) Clerk's summary:</w:t>
      </w:r>
      <w:r>
        <w:rPr>
          <w:rFonts w:ascii="Cachet Book" w:cs="Cachet Book" w:eastAsia="Cachet Book" w:hAnsi="Cachet Book"/>
          <w:color w:val="231F20"/>
          <w:sz w:val="21"/>
          <w:szCs w:val="21"/>
        </w:rPr>
        <w:t xml:space="preserve"> Three themes the testimony added to the data.</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4: Findings and Recommendations (45 minutes)</w:t>
      </w:r>
    </w:p>
    <w:p>
      <w:pPr>
        <w:pStyle w:val="ListParagraph"/>
        <w:numPr>
          <w:ilvl w:val="0"/>
          <w:numId w:val="6"/>
        </w:numPr>
        <w:spacing w:after="70"/>
      </w:pPr>
      <w:r>
        <w:rPr>
          <w:rFonts w:ascii="Cachet Bold" w:cs="Cachet Bold" w:eastAsia="Cachet Bold" w:hAnsi="Cachet Bold"/>
          <w:b/>
          <w:bCs/>
          <w:color w:val="0060AF"/>
          <w:sz w:val="21"/>
          <w:szCs w:val="21"/>
        </w:rPr>
        <w:t xml:space="preserve">(25 minutes) Equity Resolution:</w:t>
      </w:r>
      <w:r>
        <w:rPr>
          <w:rFonts w:ascii="Cachet Book" w:cs="Cachet Book" w:eastAsia="Cachet Book" w:hAnsi="Cachet Book"/>
          <w:color w:val="231F20"/>
          <w:sz w:val="21"/>
          <w:szCs w:val="21"/>
        </w:rPr>
        <w:t xml:space="preserve"> Findings as whereas clauses, each citing a number or a testimony theme. Recommendations as resolved clauses, each naming a specific code provision to change, add or clarify, who would carry it out, and how success would be measured in next year's data.</w:t>
      </w:r>
    </w:p>
    <w:p>
      <w:pPr>
        <w:pStyle w:val="ListParagraph"/>
        <w:numPr>
          <w:ilvl w:val="0"/>
          <w:numId w:val="6"/>
        </w:numPr>
        <w:spacing w:after="70"/>
      </w:pPr>
      <w:r>
        <w:rPr>
          <w:rFonts w:ascii="Cachet Bold" w:cs="Cachet Bold" w:eastAsia="Cachet Bold" w:hAnsi="Cachet Bold"/>
          <w:b/>
          <w:bCs/>
          <w:color w:val="0060AF"/>
          <w:sz w:val="21"/>
          <w:szCs w:val="21"/>
        </w:rPr>
        <w:t xml:space="preserve">(15 minutes) Cost and feasibility check:</w:t>
      </w:r>
      <w:r>
        <w:rPr>
          <w:rFonts w:ascii="Cachet Book" w:cs="Cachet Book" w:eastAsia="Cachet Book" w:hAnsi="Cachet Book"/>
          <w:color w:val="231F20"/>
          <w:sz w:val="21"/>
          <w:szCs w:val="21"/>
        </w:rPr>
        <w:t xml:space="preserve"> For each recommendation, one line on cost and who decides (principal, superintendent, board). Recommendations the board must approve are flagged for the board calendar.</w:t>
      </w:r>
    </w:p>
    <w:p>
      <w:pPr>
        <w:pStyle w:val="ListParagraph"/>
        <w:numPr>
          <w:ilvl w:val="0"/>
          <w:numId w:val="6"/>
        </w:numPr>
        <w:spacing w:after="70"/>
      </w:pPr>
      <w:r>
        <w:rPr>
          <w:rFonts w:ascii="Cachet Bold" w:cs="Cachet Bold" w:eastAsia="Cachet Bold" w:hAnsi="Cachet Bold"/>
          <w:b/>
          <w:bCs/>
          <w:color w:val="0060AF"/>
          <w:sz w:val="21"/>
          <w:szCs w:val="21"/>
        </w:rPr>
        <w:t xml:space="preserve">(5 minutes) Vote:</w:t>
      </w:r>
      <w:r>
        <w:rPr>
          <w:rFonts w:ascii="Cachet Book" w:cs="Cachet Book" w:eastAsia="Cachet Book" w:hAnsi="Cachet Book"/>
          <w:color w:val="231F20"/>
          <w:sz w:val="21"/>
          <w:szCs w:val="21"/>
        </w:rPr>
        <w:t xml:space="preserve"> The committee adopts the resolution by roll call; dissenting members may attach a one-paragraph minority view, which is also evidence.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5: Present and Record (45 minutes plus the meeting)</w:t>
      </w:r>
    </w:p>
    <w:p>
      <w:pPr>
        <w:pStyle w:val="ListParagraph"/>
        <w:numPr>
          <w:ilvl w:val="0"/>
          <w:numId w:val="7"/>
        </w:numPr>
        <w:spacing w:after="70"/>
      </w:pPr>
      <w:r>
        <w:rPr>
          <w:rFonts w:ascii="Cachet Bold" w:cs="Cachet Bold" w:eastAsia="Cachet Bold" w:hAnsi="Cachet Bold"/>
          <w:b/>
          <w:bCs/>
          <w:color w:val="0060AF"/>
          <w:sz w:val="21"/>
          <w:szCs w:val="21"/>
        </w:rPr>
        <w:t xml:space="preserve">(20 minutes) Build the presentation:</w:t>
      </w:r>
      <w:r>
        <w:rPr>
          <w:rFonts w:ascii="Cachet Book" w:cs="Cachet Book" w:eastAsia="Cachet Book" w:hAnsi="Cachet Book"/>
          <w:color w:val="231F20"/>
          <w:sz w:val="21"/>
          <w:szCs w:val="21"/>
        </w:rPr>
        <w:t xml:space="preserve"> Ten slides or a two-page brief: the data (two charts), the code provisions at issue, what the hearing added, the recommendations with measures, the ask.</w:t>
      </w:r>
    </w:p>
    <w:p>
      <w:pPr>
        <w:pStyle w:val="ListParagraph"/>
        <w:numPr>
          <w:ilvl w:val="0"/>
          <w:numId w:val="7"/>
        </w:numPr>
        <w:spacing w:after="70"/>
      </w:pPr>
      <w:r>
        <w:rPr>
          <w:rFonts w:ascii="Cachet Bold" w:cs="Cachet Bold" w:eastAsia="Cachet Bold" w:hAnsi="Cachet Bold"/>
          <w:b/>
          <w:bCs/>
          <w:color w:val="0060AF"/>
          <w:sz w:val="21"/>
          <w:szCs w:val="21"/>
        </w:rPr>
        <w:t xml:space="preserve">(25 minutes) Rehearse</w:t>
      </w:r>
      <w:r>
        <w:rPr>
          <w:rFonts w:ascii="Cachet Book" w:cs="Cachet Book" w:eastAsia="Cachet Book" w:hAnsi="Cachet Book"/>
          <w:color w:val="231F20"/>
          <w:sz w:val="21"/>
          <w:szCs w:val="21"/>
        </w:rPr>
        <w:t xml:space="preserve"> with the advisor playing the principal.</w:t>
      </w:r>
    </w:p>
    <w:p>
      <w:pPr>
        <w:pStyle w:val="ListParagraph"/>
        <w:numPr>
          <w:ilvl w:val="0"/>
          <w:numId w:val="7"/>
        </w:numPr>
        <w:spacing w:after="70"/>
      </w:pPr>
      <w:r>
        <w:rPr>
          <w:rFonts w:ascii="Cachet Bold" w:cs="Cachet Bold" w:eastAsia="Cachet Bold" w:hAnsi="Cachet Bold"/>
          <w:b/>
          <w:bCs/>
          <w:color w:val="0060AF"/>
          <w:sz w:val="21"/>
          <w:szCs w:val="21"/>
        </w:rPr>
        <w:t xml:space="preserve">Present to leadership</w:t>
      </w:r>
      <w:r>
        <w:rPr>
          <w:rFonts w:ascii="Cachet Book" w:cs="Cachet Book" w:eastAsia="Cachet Book" w:hAnsi="Cachet Book"/>
          <w:color w:val="231F20"/>
          <w:sz w:val="21"/>
          <w:szCs w:val="21"/>
        </w:rPr>
        <w:t xml:space="preserve"> (the principal at minimum; the superintendent or board where the recommendations require it). The clerk records the response and any commitments. Send a thank-you with the resolution attached.</w:t>
      </w:r>
    </w:p>
    <w:p>
      <w:pPr>
        <w:pStyle w:val="ListParagraph"/>
        <w:numPr>
          <w:ilvl w:val="0"/>
          <w:numId w:val="7"/>
        </w:numPr>
        <w:spacing w:after="70"/>
      </w:pPr>
      <w:r>
        <w:rPr>
          <w:rFonts w:ascii="Cachet Bold" w:cs="Cachet Bold" w:eastAsia="Cachet Bold" w:hAnsi="Cachet Bold"/>
          <w:b/>
          <w:bCs/>
          <w:color w:val="0060AF"/>
          <w:sz w:val="21"/>
          <w:szCs w:val="21"/>
        </w:rPr>
        <w:t xml:space="preserve">Reflection (300 to 500 words per member):</w:t>
      </w:r>
      <w:r>
        <w:rPr>
          <w:rFonts w:ascii="Cachet Book" w:cs="Cachet Book" w:eastAsia="Cachet Book" w:hAnsi="Cachet Book"/>
          <w:color w:val="231F20"/>
          <w:sz w:val="21"/>
          <w:szCs w:val="21"/>
        </w:rPr>
        <w:t xml:space="preserve"> What the data showed, what the hearing changed, what we recommended, what leadership said, what I would do next, and how this project changed my civic knowledge, skills and mindsets.</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Assessment: Equity Review Rubric (100 points)</w:t>
      </w:r>
    </w:p>
    <w:p>
      <w:pPr>
        <w:pStyle w:val="ListParagraph"/>
        <w:numPr>
          <w:ilvl w:val="0"/>
          <w:numId w:val="2"/>
        </w:numPr>
        <w:spacing w:after="70"/>
      </w:pPr>
      <w:r>
        <w:rPr>
          <w:rFonts w:ascii="Cachet Bold" w:cs="Cachet Bold" w:eastAsia="Cachet Bold" w:hAnsi="Cachet Bold"/>
          <w:b/>
          <w:bCs/>
          <w:color w:val="0060AF"/>
          <w:sz w:val="21"/>
          <w:szCs w:val="21"/>
        </w:rPr>
        <w:t xml:space="preserve">Data Analysis (25):</w:t>
      </w:r>
      <w:r>
        <w:rPr>
          <w:rFonts w:ascii="Cachet Book" w:cs="Cachet Book" w:eastAsia="Cachet Book" w:hAnsi="Cachet Book"/>
          <w:color w:val="231F20"/>
          <w:sz w:val="21"/>
          <w:szCs w:val="21"/>
        </w:rPr>
        <w:t xml:space="preserve"> Correct reading of at least two measures by group; gaps stated with numbers; trends noted; small groups handled correctly.</w:t>
      </w:r>
    </w:p>
    <w:p>
      <w:pPr>
        <w:pStyle w:val="ListParagraph"/>
        <w:numPr>
          <w:ilvl w:val="0"/>
          <w:numId w:val="2"/>
        </w:numPr>
        <w:spacing w:after="70"/>
      </w:pPr>
      <w:r>
        <w:rPr>
          <w:rFonts w:ascii="Cachet Bold" w:cs="Cachet Bold" w:eastAsia="Cachet Bold" w:hAnsi="Cachet Bold"/>
          <w:b/>
          <w:bCs/>
          <w:color w:val="0060AF"/>
          <w:sz w:val="21"/>
          <w:szCs w:val="21"/>
        </w:rPr>
        <w:t xml:space="preserve">Code of Conduct Review (20):</w:t>
      </w:r>
      <w:r>
        <w:rPr>
          <w:rFonts w:ascii="Cachet Book" w:cs="Cachet Book" w:eastAsia="Cachet Book" w:hAnsi="Cachet Book"/>
          <w:color w:val="231F20"/>
          <w:sz w:val="21"/>
          <w:szCs w:val="21"/>
        </w:rPr>
        <w:t xml:space="preserve"> Relevant provisions identified; each rated; connection to the data explained.</w:t>
      </w:r>
    </w:p>
    <w:p>
      <w:pPr>
        <w:pStyle w:val="ListParagraph"/>
        <w:numPr>
          <w:ilvl w:val="0"/>
          <w:numId w:val="2"/>
        </w:numPr>
        <w:spacing w:after="70"/>
      </w:pPr>
      <w:r>
        <w:rPr>
          <w:rFonts w:ascii="Cachet Bold" w:cs="Cachet Bold" w:eastAsia="Cachet Bold" w:hAnsi="Cachet Bold"/>
          <w:b/>
          <w:bCs/>
          <w:color w:val="0060AF"/>
          <w:sz w:val="21"/>
          <w:szCs w:val="21"/>
        </w:rPr>
        <w:t xml:space="preserve">Hearing (15):</w:t>
      </w:r>
      <w:r>
        <w:rPr>
          <w:rFonts w:ascii="Cachet Book" w:cs="Cachet Book" w:eastAsia="Cachet Book" w:hAnsi="Cachet Book"/>
          <w:color w:val="231F20"/>
          <w:sz w:val="21"/>
          <w:szCs w:val="21"/>
        </w:rPr>
        <w:t xml:space="preserve"> At least six witnesses across groups; protocol followed; testimony recorded and anonymized; themes summarized.</w:t>
      </w:r>
    </w:p>
    <w:p>
      <w:pPr>
        <w:pStyle w:val="ListParagraph"/>
        <w:numPr>
          <w:ilvl w:val="0"/>
          <w:numId w:val="2"/>
        </w:numPr>
        <w:spacing w:after="70"/>
      </w:pPr>
      <w:r>
        <w:rPr>
          <w:rFonts w:ascii="Cachet Bold" w:cs="Cachet Bold" w:eastAsia="Cachet Bold" w:hAnsi="Cachet Bold"/>
          <w:b/>
          <w:bCs/>
          <w:color w:val="0060AF"/>
          <w:sz w:val="21"/>
          <w:szCs w:val="21"/>
        </w:rPr>
        <w:t xml:space="preserve">Resolution (20):</w:t>
      </w:r>
      <w:r>
        <w:rPr>
          <w:rFonts w:ascii="Cachet Book" w:cs="Cachet Book" w:eastAsia="Cachet Book" w:hAnsi="Cachet Book"/>
          <w:color w:val="231F20"/>
          <w:sz w:val="21"/>
          <w:szCs w:val="21"/>
        </w:rPr>
        <w:t xml:space="preserve"> Findings cite data or testimony; recommendations are specific, assigned and measurable; cost and decision maker noted; vote recorded.</w:t>
      </w:r>
    </w:p>
    <w:p>
      <w:pPr>
        <w:pStyle w:val="ListParagraph"/>
        <w:numPr>
          <w:ilvl w:val="0"/>
          <w:numId w:val="2"/>
        </w:numPr>
        <w:spacing w:after="70"/>
      </w:pPr>
      <w:r>
        <w:rPr>
          <w:rFonts w:ascii="Cachet Bold" w:cs="Cachet Bold" w:eastAsia="Cachet Bold" w:hAnsi="Cachet Bold"/>
          <w:b/>
          <w:bCs/>
          <w:color w:val="0060AF"/>
          <w:sz w:val="21"/>
          <w:szCs w:val="21"/>
        </w:rPr>
        <w:t xml:space="preserve">Presentation to Leadership (15):</w:t>
      </w:r>
      <w:r>
        <w:rPr>
          <w:rFonts w:ascii="Cachet Book" w:cs="Cachet Book" w:eastAsia="Cachet Book" w:hAnsi="Cachet Book"/>
          <w:color w:val="231F20"/>
          <w:sz w:val="21"/>
          <w:szCs w:val="21"/>
        </w:rPr>
        <w:t xml:space="preserve"> Delivered to the principal or above; clear ask; response recorded; thank-you sent.</w:t>
      </w:r>
    </w:p>
    <w:p>
      <w:pPr>
        <w:pStyle w:val="ListParagraph"/>
        <w:numPr>
          <w:ilvl w:val="0"/>
          <w:numId w:val="2"/>
        </w:numPr>
        <w:spacing w:after="70"/>
      </w:pPr>
      <w:r>
        <w:rPr>
          <w:rFonts w:ascii="Cachet Bold" w:cs="Cachet Bold" w:eastAsia="Cachet Bold" w:hAnsi="Cachet Bold"/>
          <w:b/>
          <w:bCs/>
          <w:color w:val="0060AF"/>
          <w:sz w:val="21"/>
          <w:szCs w:val="21"/>
        </w:rPr>
        <w:t xml:space="preserve">Reflection (5):</w:t>
      </w:r>
      <w:r>
        <w:rPr>
          <w:rFonts w:ascii="Cachet Book" w:cs="Cachet Book" w:eastAsia="Cachet Book" w:hAnsi="Cachet Book"/>
          <w:color w:val="231F20"/>
          <w:sz w:val="21"/>
          <w:szCs w:val="21"/>
        </w:rPr>
        <w:t xml:space="preserve"> Specific and honest.</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Differentiation:</w:t>
      </w:r>
    </w:p>
    <w:p>
      <w:pPr>
        <w:pStyle w:val="ListParagraph"/>
        <w:numPr>
          <w:ilvl w:val="0"/>
          <w:numId w:val="2"/>
        </w:numPr>
        <w:spacing w:after="70"/>
      </w:pPr>
      <w:r>
        <w:rPr>
          <w:rFonts w:ascii="Cachet Bold" w:cs="Cachet Bold" w:eastAsia="Cachet Bold" w:hAnsi="Cachet Bold"/>
          <w:b/>
          <w:bCs/>
          <w:color w:val="0060AF"/>
          <w:sz w:val="21"/>
          <w:szCs w:val="21"/>
        </w:rPr>
        <w:t xml:space="preserve">Support:</w:t>
      </w:r>
      <w:r>
        <w:rPr>
          <w:rFonts w:ascii="Cachet Book" w:cs="Cachet Book" w:eastAsia="Cachet Book" w:hAnsi="Cachet Book"/>
          <w:color w:val="231F20"/>
          <w:sz w:val="21"/>
          <w:szCs w:val="21"/>
        </w:rPr>
        <w:t xml:space="preserve"> Pre-pull the two data measures and the three code sections most likely to matter. Reduce the hearing to four witnesses. Provide a resolution frame with the whereas and resolved stems written.</w:t>
      </w:r>
    </w:p>
    <w:p>
      <w:pPr>
        <w:pStyle w:val="ListParagraph"/>
        <w:numPr>
          <w:ilvl w:val="0"/>
          <w:numId w:val="2"/>
        </w:numPr>
        <w:spacing w:after="70"/>
      </w:pPr>
      <w:r>
        <w:rPr>
          <w:rFonts w:ascii="Cachet Bold" w:cs="Cachet Bold" w:eastAsia="Cachet Bold" w:hAnsi="Cachet Bold"/>
          <w:b/>
          <w:bCs/>
          <w:color w:val="0060AF"/>
          <w:sz w:val="21"/>
          <w:szCs w:val="21"/>
        </w:rPr>
        <w:t xml:space="preserve">Challenge:</w:t>
      </w:r>
      <w:r>
        <w:rPr>
          <w:rFonts w:ascii="Cachet Book" w:cs="Cachet Book" w:eastAsia="Cachet Book" w:hAnsi="Cachet Book"/>
          <w:color w:val="231F20"/>
          <w:sz w:val="21"/>
          <w:szCs w:val="21"/>
        </w:rPr>
        <w:t xml:space="preserve"> Add a comparison school from the state data; survey the student body; present to the board of education during public comment and track whether any recommendation appears on a later agenda.</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Supporting Documents</w:t>
      </w:r>
    </w:p>
    <w:p>
      <w:pPr>
        <w:pStyle w:val="Heading2"/>
        <w:spacing w:after="80" w:before="220"/>
      </w:pPr>
      <w:r>
        <w:rPr>
          <w:rFonts w:ascii="Cachet Bold" w:cs="Cachet Bold" w:eastAsia="Cachet Bold" w:hAnsi="Cachet Bold"/>
          <w:b/>
          <w:bCs/>
          <w:color w:val="92278F"/>
          <w:sz w:val="22"/>
          <w:szCs w:val="22"/>
        </w:rPr>
        <w:t xml:space="preserve">1. Data Reading Guide</w:t>
      </w:r>
    </w:p>
    <w:p>
      <w:pPr>
        <w:spacing w:after="110"/>
      </w:pPr>
      <w:r>
        <w:rPr>
          <w:rFonts w:ascii="Cachet Book" w:cs="Cachet Book" w:eastAsia="Cachet Book" w:hAnsi="Cachet Book"/>
          <w:color w:val="231F20"/>
          <w:sz w:val="21"/>
          <w:szCs w:val="21"/>
        </w:rPr>
        <w:t xml:space="preserve">Measure: ____________</w:t>
      </w:r>
      <w:r>
        <w:rPr>
          <w:rFonts w:ascii="Cachet Book" w:cs="Cachet Book" w:eastAsia="Cachet Book" w:hAnsi="Cachet Book"/>
          <w:color w:val="231F20"/>
          <w:sz w:val="21"/>
          <w:szCs w:val="21"/>
          <w:u w:val="single"/>
        </w:rPr>
        <w:t xml:space="preserve"> Source and year: </w:t>
      </w:r>
      <w:r>
        <w:rPr>
          <w:rFonts w:ascii="Cachet Book" w:cs="Cachet Book" w:eastAsia="Cachet Book" w:hAnsi="Cachet Book"/>
          <w:color w:val="231F20"/>
          <w:sz w:val="21"/>
          <w:szCs w:val="21"/>
          <w:u w:val="single"/>
        </w:rPr>
        <w:t xml:space="preserve">________</w:t>
      </w:r>
    </w:p>
    <w:p>
      <w:pPr>
        <w:spacing w:after="110"/>
      </w:pPr>
      <w:r>
        <w:rPr>
          <w:rFonts w:ascii="Cachet Book" w:cs="Cachet Book" w:eastAsia="Cachet Book" w:hAnsi="Cachet Book"/>
          <w:color w:val="231F20"/>
          <w:sz w:val="21"/>
          <w:szCs w:val="21"/>
        </w:rPr>
        <w:t xml:space="preserve">School-wide figure: ____</w:t>
      </w:r>
      <w:r>
        <w:rPr>
          <w:rFonts w:ascii="Cachet Book" w:cs="Cachet Book" w:eastAsia="Cachet Book" w:hAnsi="Cachet Book"/>
          <w:color w:val="231F20"/>
          <w:sz w:val="21"/>
          <w:szCs w:val="21"/>
          <w:u w:val="single"/>
        </w:rPr>
        <w:t xml:space="preserve"> Figures by group (list each group reported): </w:t>
      </w:r>
      <w:r>
        <w:rPr>
          <w:rFonts w:ascii="Cachet Book" w:cs="Cachet Book" w:eastAsia="Cachet Book" w:hAnsi="Cachet Book"/>
          <w:color w:val="231F20"/>
          <w:sz w:val="21"/>
          <w:szCs w:val="21"/>
          <w:u w:val="single"/>
        </w:rPr>
        <w:t xml:space="preserve">________________________</w:t>
      </w:r>
    </w:p>
    <w:p>
      <w:pPr>
        <w:spacing w:after="110"/>
      </w:pPr>
      <w:r>
        <w:rPr>
          <w:rFonts w:ascii="Cachet Book" w:cs="Cachet Book" w:eastAsia="Cachet Book" w:hAnsi="Cachet Book"/>
          <w:color w:val="231F20"/>
          <w:sz w:val="21"/>
          <w:szCs w:val="21"/>
        </w:rPr>
        <w:t xml:space="preserve">Largest gap (which groups, how many points): ______________________________</w:t>
      </w:r>
    </w:p>
    <w:p>
      <w:pPr>
        <w:spacing w:after="110"/>
      </w:pPr>
      <w:r>
        <w:rPr>
          <w:rFonts w:ascii="Cachet Book" w:cs="Cachet Book" w:eastAsia="Cachet Book" w:hAnsi="Cachet Book"/>
          <w:color w:val="231F20"/>
          <w:sz w:val="21"/>
          <w:szCs w:val="21"/>
        </w:rPr>
        <w:t xml:space="preserve">Three-year trend: narrowing / widening / flat. Evidence: ______________________________</w:t>
      </w:r>
    </w:p>
    <w:p>
      <w:pPr>
        <w:spacing w:after="110"/>
      </w:pPr>
      <w:r>
        <w:rPr>
          <w:rFonts w:ascii="Cachet Book" w:cs="Cachet Book" w:eastAsia="Cachet Book" w:hAnsi="Cachet Book"/>
          <w:color w:val="231F20"/>
          <w:sz w:val="21"/>
          <w:szCs w:val="21"/>
        </w:rPr>
        <w:t xml:space="preserve">Groups suppressed for small size: ______________________________</w:t>
      </w:r>
    </w:p>
    <w:p>
      <w:pPr>
        <w:spacing w:after="110"/>
      </w:pPr>
      <w:r>
        <w:rPr>
          <w:rFonts w:ascii="Cachet Book" w:cs="Cachet Book" w:eastAsia="Cachet Book" w:hAnsi="Cachet Book"/>
          <w:color w:val="231F20"/>
          <w:sz w:val="21"/>
          <w:szCs w:val="21"/>
        </w:rPr>
        <w:t xml:space="preserve">What this measure cannot tell us: ______________________________</w:t>
      </w:r>
    </w:p>
    <w:p>
      <w:pPr>
        <w:pStyle w:val="Heading2"/>
        <w:spacing w:after="80" w:before="220"/>
      </w:pPr>
      <w:r>
        <w:rPr>
          <w:rFonts w:ascii="Cachet Bold" w:cs="Cachet Bold" w:eastAsia="Cachet Bold" w:hAnsi="Cachet Bold"/>
          <w:b/>
          <w:bCs/>
          <w:color w:val="92278F"/>
          <w:sz w:val="22"/>
          <w:szCs w:val="22"/>
        </w:rPr>
        <w:t xml:space="preserve">2. Code of Conduct Review Grid</w:t>
      </w:r>
    </w:p>
    <w:p>
      <w:pPr>
        <w:spacing w:after="110"/>
      </w:pPr>
      <w:r>
        <w:rPr>
          <w:rFonts w:ascii="Cachet Book" w:cs="Cachet Book" w:eastAsia="Cachet Book" w:hAnsi="Cachet Book"/>
          <w:color w:val="231F20"/>
          <w:sz w:val="21"/>
          <w:szCs w:val="21"/>
        </w:rPr>
        <w:t xml:space="preserve">Columns: Data gap. Code provision (section and page). What it says. Clear or vague. Discretionary or fixed. Supportive option present. How it might connect to the gap. Question for the hearing.</w:t>
      </w:r>
    </w:p>
    <w:p>
      <w:pPr>
        <w:pStyle w:val="Heading2"/>
        <w:spacing w:after="80" w:before="220"/>
      </w:pPr>
      <w:r>
        <w:rPr>
          <w:rFonts w:ascii="Cachet Bold" w:cs="Cachet Bold" w:eastAsia="Cachet Bold" w:hAnsi="Cachet Bold"/>
          <w:b/>
          <w:bCs/>
          <w:color w:val="92278F"/>
          <w:sz w:val="22"/>
          <w:szCs w:val="22"/>
        </w:rPr>
        <w:t xml:space="preserve">3. Hearing Protocol and Testimony Record</w:t>
      </w:r>
    </w:p>
    <w:p>
      <w:pPr>
        <w:spacing w:after="110"/>
      </w:pPr>
      <w:r>
        <w:rPr>
          <w:rFonts w:ascii="Cachet Bold" w:cs="Cachet Bold" w:eastAsia="Cachet Bold" w:hAnsi="Cachet Bold"/>
          <w:b/>
          <w:bCs/>
          <w:color w:val="0060AF"/>
          <w:sz w:val="21"/>
          <w:szCs w:val="21"/>
        </w:rPr>
        <w:t xml:space="preserve">Protocol:</w:t>
      </w:r>
      <w:r>
        <w:rPr>
          <w:rFonts w:ascii="Cachet Book" w:cs="Cachet Book" w:eastAsia="Cachet Book" w:hAnsi="Cachet Book"/>
          <w:color w:val="231F20"/>
          <w:sz w:val="21"/>
          <w:szCs w:val="21"/>
        </w:rPr>
        <w:t xml:space="preserve"> The chair opens and states the purpose. Witnesses speak for three minutes. Members ask questions through the chair. No individual students or staff are named. Witnesses may decline any question. The clerk records.</w:t>
      </w:r>
    </w:p>
    <w:p>
      <w:pPr>
        <w:spacing w:after="110"/>
      </w:pPr>
      <w:r>
        <w:rPr>
          <w:rFonts w:ascii="Cachet Bold" w:cs="Cachet Bold" w:eastAsia="Cachet Bold" w:hAnsi="Cachet Bold"/>
          <w:b/>
          <w:bCs/>
          <w:color w:val="0060AF"/>
          <w:sz w:val="21"/>
          <w:szCs w:val="21"/>
        </w:rPr>
        <w:t xml:space="preserve">Record for each witness:</w:t>
      </w:r>
      <w:r>
        <w:rPr>
          <w:rFonts w:ascii="Cachet Book" w:cs="Cachet Book" w:eastAsia="Cachet Book" w:hAnsi="Cachet Book"/>
          <w:color w:val="231F20"/>
          <w:sz w:val="21"/>
          <w:szCs w:val="21"/>
        </w:rPr>
        <w:t xml:space="preserve"> Role (not name), grade or position, date, three key statements, questions asked and answers, theme tags.</w:t>
      </w:r>
    </w:p>
    <w:p>
      <w:pPr>
        <w:pStyle w:val="Heading2"/>
        <w:spacing w:after="80" w:before="220"/>
      </w:pPr>
      <w:r>
        <w:rPr>
          <w:rFonts w:ascii="Cachet Bold" w:cs="Cachet Bold" w:eastAsia="Cachet Bold" w:hAnsi="Cachet Bold"/>
          <w:b/>
          <w:bCs/>
          <w:color w:val="92278F"/>
          <w:sz w:val="22"/>
          <w:szCs w:val="22"/>
        </w:rPr>
        <w:t xml:space="preserve">4. Equity Resolution Template</w:t>
      </w:r>
    </w:p>
    <w:p>
      <w:pPr>
        <w:spacing w:after="110"/>
      </w:pPr>
      <w:r>
        <w:rPr>
          <w:rFonts w:ascii="Cachet Book" w:cs="Cachet Book" w:eastAsia="Cachet Book" w:hAnsi="Cachet Book"/>
          <w:color w:val="231F20"/>
          <w:sz w:val="21"/>
          <w:szCs w:val="21"/>
        </w:rPr>
        <w:t xml:space="preserve">A Resolution of the [School] Student Equity Review Committee concerning the Code of Conduct</w:t>
      </w:r>
    </w:p>
    <w:p>
      <w:pPr>
        <w:spacing w:after="110"/>
      </w:pPr>
      <w:r>
        <w:rPr>
          <w:rFonts w:ascii="Cachet Book" w:cs="Cachet Book" w:eastAsia="Cachet Book" w:hAnsi="Cachet Book"/>
          <w:color w:val="231F20"/>
          <w:sz w:val="21"/>
          <w:szCs w:val="21"/>
        </w:rPr>
        <w:t xml:space="preserve">Whereas, [finding with number and source];</w:t>
      </w:r>
    </w:p>
    <w:p>
      <w:pPr>
        <w:spacing w:after="110"/>
      </w:pPr>
      <w:r>
        <w:rPr>
          <w:rFonts w:ascii="Cachet Book" w:cs="Cachet Book" w:eastAsia="Cachet Book" w:hAnsi="Cachet Book"/>
          <w:color w:val="231F20"/>
          <w:sz w:val="21"/>
          <w:szCs w:val="21"/>
        </w:rPr>
        <w:t xml:space="preserve">Whereas, [finding with number and source];</w:t>
      </w:r>
    </w:p>
    <w:p>
      <w:pPr>
        <w:spacing w:after="110"/>
      </w:pPr>
      <w:r>
        <w:rPr>
          <w:rFonts w:ascii="Cachet Book" w:cs="Cachet Book" w:eastAsia="Cachet Book" w:hAnsi="Cachet Book"/>
          <w:color w:val="231F20"/>
          <w:sz w:val="21"/>
          <w:szCs w:val="21"/>
        </w:rPr>
        <w:t xml:space="preserve">Whereas, testimony received on [date] from [number] witnesses indicated that [theme];</w:t>
      </w:r>
    </w:p>
    <w:p>
      <w:pPr>
        <w:spacing w:after="110"/>
      </w:pPr>
      <w:r>
        <w:rPr>
          <w:rFonts w:ascii="Cachet Book" w:cs="Cachet Book" w:eastAsia="Cachet Book" w:hAnsi="Cachet Book"/>
          <w:color w:val="231F20"/>
          <w:sz w:val="21"/>
          <w:szCs w:val="21"/>
        </w:rPr>
        <w:t xml:space="preserve">Therefore, be it Resolved, that [specific recommendation], to be carried out by [office], with success measured by [data measure] in [year]; and</w:t>
      </w:r>
    </w:p>
    <w:p>
      <w:pPr>
        <w:spacing w:after="110"/>
      </w:pPr>
      <w:r>
        <w:rPr>
          <w:rFonts w:ascii="Cachet Book" w:cs="Cachet Book" w:eastAsia="Cachet Book" w:hAnsi="Cachet Book"/>
          <w:color w:val="231F20"/>
          <w:sz w:val="21"/>
          <w:szCs w:val="21"/>
        </w:rPr>
        <w:t xml:space="preserve">Be it further Resolved, that [second recommendation]...</w:t>
      </w:r>
    </w:p>
    <w:p>
      <w:pPr>
        <w:spacing w:after="110"/>
      </w:pPr>
      <w:r>
        <w:rPr>
          <w:rFonts w:ascii="Cachet Book" w:cs="Cachet Book" w:eastAsia="Cachet Book" w:hAnsi="Cachet Book"/>
          <w:color w:val="231F20"/>
          <w:sz w:val="21"/>
          <w:szCs w:val="21"/>
        </w:rPr>
        <w:t xml:space="preserve">Adopted [date] by a vote of __</w:t>
      </w:r>
      <w:r>
        <w:rPr>
          <w:rFonts w:ascii="Cachet Book" w:cs="Cachet Book" w:eastAsia="Cachet Book" w:hAnsi="Cachet Book"/>
          <w:color w:val="231F20"/>
          <w:sz w:val="21"/>
          <w:szCs w:val="21"/>
          <w:u w:val="single"/>
        </w:rPr>
        <w:t xml:space="preserve"> to </w:t>
      </w:r>
      <w:r>
        <w:rPr>
          <w:rFonts w:ascii="Cachet Book" w:cs="Cachet Book" w:eastAsia="Cachet Book" w:hAnsi="Cachet Book"/>
          <w:color w:val="231F20"/>
          <w:sz w:val="21"/>
          <w:szCs w:val="21"/>
          <w:u w:val="single"/>
        </w:rPr>
        <w:t xml:space="preserve">. Chair: </w:t>
      </w:r>
      <w:r>
        <w:rPr>
          <w:rFonts w:ascii="Cachet Book" w:cs="Cachet Book" w:eastAsia="Cachet Book" w:hAnsi="Cachet Book"/>
          <w:color w:val="231F20"/>
          <w:sz w:val="21"/>
          <w:szCs w:val="21"/>
          <w:u w:val="single"/>
        </w:rPr>
        <w:t xml:space="preserve"/>
      </w:r>
      <w:r>
        <w:rPr>
          <w:rFonts w:ascii="Cachet Book" w:cs="Cachet Book" w:eastAsia="Cachet Book" w:hAnsi="Cachet Book"/>
          <w:color w:val="231F20"/>
          <w:sz w:val="21"/>
          <w:szCs w:val="21"/>
          <w:u w:val="single"/>
        </w:rPr>
        <w:t xml:space="preserve"> Clerk: </w:t>
      </w:r>
      <w:r>
        <w:rPr>
          <w:rFonts w:ascii="Cachet Book" w:cs="Cachet Book" w:eastAsia="Cachet Book" w:hAnsi="Cachet Book"/>
          <w:color w:val="231F20"/>
          <w:sz w:val="21"/>
          <w:szCs w:val="21"/>
        </w:rPr>
        <w:t xml:space="preserve">____ Minority view attached: Y / N</w:t>
      </w:r>
    </w:p>
    <w:p>
      <w:pPr>
        <w:pStyle w:val="Heading2"/>
        <w:spacing w:after="80" w:before="220"/>
      </w:pPr>
      <w:r>
        <w:rPr>
          <w:rFonts w:ascii="Cachet Bold" w:cs="Cachet Bold" w:eastAsia="Cachet Bold" w:hAnsi="Cachet Bold"/>
          <w:b/>
          <w:bCs/>
          <w:color w:val="92278F"/>
          <w:sz w:val="22"/>
          <w:szCs w:val="22"/>
        </w:rPr>
        <w:t xml:space="preserve">5. Rhode Island and Connecticut Notes</w:t>
      </w:r>
    </w:p>
    <w:p>
      <w:pPr>
        <w:spacing w:after="110"/>
      </w:pPr>
      <w:r>
        <w:rPr>
          <w:rFonts w:ascii="Cachet Book" w:cs="Cachet Book" w:eastAsia="Cachet Book" w:hAnsi="Cachet Book"/>
          <w:color w:val="231F20"/>
          <w:sz w:val="21"/>
          <w:szCs w:val="21"/>
        </w:rPr>
        <w:t xml:space="preserve">This unit meets Rhode Island's student-led civics project definition: student led (the committee chooses its measures and recommendations), reasons from evidence (data and testimony), and connects policy levels (district policy, state reporting requirements, and the federal civil rights framework behind the reported groups). For Connecticut, file the data guide, the resolution, the presentation and the leadership response as one portfolio entry.</w:t>
      </w:r>
    </w:p>
    <w:sectPr>
      <w:headerReference w:type="default" r:id="rId7"/>
      <w:footerReference w:type="default" r:id="rId8"/>
      <w:pgSz w:w="12240" w:h="15840" w:orient="portrait"/>
      <w:pgMar w:top="1500" w:right="1440" w:bottom="1200" w:left="144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7E8" w:sz="4" w:space="4"/>
      </w:pBdr>
      <w:tabs>
        <w:tab w:val="right" w:pos="9360"/>
      </w:tabs>
    </w:pPr>
    <w:r>
      <w:rPr>
        <w:rFonts w:ascii="Cachet Book" w:cs="Cachet Book" w:eastAsia="Cachet Book" w:hAnsi="Cachet Book"/>
        <w:color w:val="58595B"/>
        <w:sz w:val="16"/>
        <w:szCs w:val="16"/>
      </w:rPr>
      <w:t>Unit 3: The School Equity Review (High School Civics Project, modeled on NYSED Handbook Example 2)</w:t>
    </w:r>
    <w:r>
      <w:rPr>
        <w:rFonts w:ascii="Cachet Book" w:cs="Cachet Book" w:eastAsia="Cachet Book" w:hAnsi="Cachet Book"/>
        <w:color w:val="58595B"/>
        <w:sz w:val="16"/>
        <w:szCs w:val="16"/>
      </w:rPr>
      <w:t xml:space="preserve">	Page </w:t>
    </w:r>
    <w:r>
      <w:rPr>
        <w:rFonts w:ascii="Cachet Book" w:cs="Cachet Book" w:eastAsia="Cachet Book" w:hAnsi="Cachet Book"/>
        <w:color w:val="58595B"/>
        <w:sz w:val="16"/>
        <w:szCs w:val="16"/>
      </w:rPr>
      <w:fldChar w:fldCharType="begin"/>
      <w:instrText xml:space="preserve">PAGE</w:instrText>
      <w:fldChar w:fldCharType="separate"/>
      <w:fldChar w:fldCharType="end"/>
    </w:r>
  </w:p>
  <w:p>
    <w:r>
      <w:rPr>
        <w:rFonts w:ascii="Cachet Book" w:cs="Cachet Book" w:eastAsia="Cachet Book" w:hAnsi="Cachet Book"/>
        <w:color w:val="58595B"/>
        <w:sz w:val="14"/>
        <w:szCs w:val="14"/>
      </w:rPr>
      <w:t xml:space="preserve">The Y: For youth development, for healthy living, for social responsibility.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vAlign w:val="center"/>
        </w:tcPr>
        <w:p>
          <w:r>
            <w:drawing>
              <wp:inline distT="0" distB="0" distL="0" distR="0">
                <wp:extent cx="7620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62000" cy="428625"/>
                        </a:xfrm>
                        <a:prstGeom prst="rect">
                          <a:avLst/>
                        </a:prstGeom>
                      </pic:spPr>
                    </pic:pic>
                  </a:graphicData>
                </a:graphic>
              </wp:inline>
            </w:drawing>
          </w:r>
        </w:p>
      </w:tc>
      <w:tc>
        <w:tcPr>
          <w:tcW w:type="dxa" w:w="7860"/>
          <w:tcBorders>
            <w:top w:val="none" w:color="FFFFFF" w:sz="0"/>
            <w:left w:val="none" w:color="FFFFFF" w:sz="0"/>
            <w:bottom w:val="none" w:color="FFFFFF" w:sz="0"/>
            <w:right w:val="none" w:color="FFFFFF" w:sz="0"/>
          </w:tcBorders>
          <w:vAlign w:val="center"/>
        </w:tcPr>
        <w:p>
          <w:pPr>
            <w:jc w:val="right"/>
          </w:pPr>
          <w:r>
            <w:rPr>
              <w:rFonts w:ascii="Cachet Bold" w:cs="Cachet Bold" w:eastAsia="Cachet Bold" w:hAnsi="Cachet Bold"/>
              <w:b/>
              <w:bCs/>
              <w:color w:val="0060AF"/>
              <w:sz w:val="20"/>
              <w:szCs w:val="20"/>
            </w:rPr>
            <w:t xml:space="preserve">YMCA YOUTH AND GOVERNMENT</w:t>
          </w:r>
        </w:p>
        <w:p>
          <w:pPr>
            <w:jc w:val="right"/>
          </w:pPr>
          <w:r>
            <w:rPr>
              <w:rFonts w:ascii="Cachet Book" w:cs="Cachet Book" w:eastAsia="Cachet Book" w:hAnsi="Cachet Book"/>
              <w:color w:val="58595B"/>
              <w:sz w:val="18"/>
              <w:szCs w:val="18"/>
            </w:rPr>
            <w:t xml:space="preserve">Earning the Civic Seal Series</w:t>
          </w:r>
        </w:p>
      </w:tc>
    </w:tr>
  </w:tbl>
  <w:p>
    <w:pPr>
      <w:pBdr>
        <w:bottom w:val="single" w:color="0089D0" w:sz="6" w:space="1"/>
      </w:pBd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Segoe UI Symbol" w:cs="Segoe UI Symbol" w:eastAsia="Segoe UI Symbol" w:hAnsi="Segoe UI Symbol"/>
        <w:color w:val="0089D0"/>
      </w:rPr>
    </w:lvl>
    <w:lvl w:ilvl="1" w15:tentative="1">
      <w:start w:val="1"/>
      <w:numFmt w:val="bullet"/>
      <w:lvlText w:val="•"/>
      <w:lvlJc w:val="left"/>
      <w:pPr>
        <w:ind w:left="1080" w:hanging="300"/>
      </w:pPr>
      <w:rPr>
        <w:color w:val="92278F"/>
      </w:rPr>
    </w:lvl>
    <w:lvl w:ilvl="2" w15:tentative="1">
      <w:start w:val="1"/>
      <w:numFmt w:val="bullet"/>
      <w:lvlText w:val="▪"/>
      <w:lvlJc w:val="left"/>
      <w:pPr>
        <w:ind w:left="1620" w:hanging="300"/>
      </w:pPr>
      <w:rPr>
        <w:color w:val="58595B"/>
      </w:rPr>
    </w:lvl>
  </w:abstractNum>
  <w:abstractNum w:abstractNumId="3" w15:restartNumberingAfterBreak="0">
    <w:multiLevelType w:val="hybridMultilevel"/>
    <w:lvl w:ilvl="0" w15:tentative="1">
      <w:start w:val="1"/>
      <w:numFmt w:val="decimal"/>
      <w:lvlText w:val="%1."/>
      <w:lvlJc w:val="left"/>
      <w:pPr>
        <w:ind w:left="540" w:hanging="360"/>
      </w:pPr>
      <w:rPr>
        <w:rFonts w:ascii="Cachet Bold" w:cs="Cachet Bold" w:eastAsia="Cachet Bold" w:hAnsi="Cachet Bold"/>
        <w:b/>
        <w:bCs/>
        <w:color w:val="0089D0"/>
      </w:rPr>
    </w:lvl>
    <w:lvl w:ilvl="1" w15:tentative="1">
      <w:start w:val="1"/>
      <w:numFmt w:val="lowerLetter"/>
      <w:lvlText w:val="%2."/>
      <w:lvlJc w:val="left"/>
      <w:pPr>
        <w:ind w:left="1080" w:hanging="360"/>
      </w:pPr>
      <w:rPr>
        <w:color w:val="92278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chet Book" w:cs="Cachet Book" w:eastAsia="Cachet Book" w:hAnsi="Cachet Book"/>
        <w:color w:val="231F2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9eb70259823b3b66103d868ee2e88e8cad8feb2.png"/><Relationship Id="rId10" Type="http://schemas.openxmlformats.org/officeDocument/2006/relationships/image" Target="media/d9081bae14ce496036d9132690459925c44435ea.png"/><Relationship Id="rId11"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b32943378a162081216978b369627e7502a7298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3: The School Equity Review (High School Civics Project, modeled on NYSED Handbook Example 2)</dc:title>
  <dc:creator>YMCA Youth and Government</dc:creator>
  <cp:lastModifiedBy>Un-named</cp:lastModifiedBy>
  <cp:revision>1</cp:revision>
  <dcterms:created xsi:type="dcterms:W3CDTF">2026-10-05T04:58:19.500Z</dcterms:created>
  <dcterms:modified xsi:type="dcterms:W3CDTF">2026-10-05T04:58:19.500Z</dcterms:modified>
</cp:coreProperties>
</file>

<file path=docProps/custom.xml><?xml version="1.0" encoding="utf-8"?>
<Properties xmlns="http://schemas.openxmlformats.org/officeDocument/2006/custom-properties" xmlns:vt="http://schemas.openxmlformats.org/officeDocument/2006/docPropsVTypes"/>
</file>